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E98" w:rsidRPr="00A26AEC" w:rsidRDefault="00A26AEC" w:rsidP="00A26AEC">
      <w:pPr>
        <w:jc w:val="center"/>
        <w:rPr>
          <w:b/>
          <w:sz w:val="28"/>
          <w:szCs w:val="28"/>
          <w:u w:val="single"/>
        </w:rPr>
      </w:pPr>
      <w:r w:rsidRPr="00A26AEC">
        <w:rPr>
          <w:b/>
          <w:sz w:val="28"/>
          <w:szCs w:val="28"/>
          <w:u w:val="single"/>
        </w:rPr>
        <w:t>Dissemination of Health Statistics</w:t>
      </w:r>
    </w:p>
    <w:p w:rsidR="00FC05AD" w:rsidRDefault="00185080" w:rsidP="00A26AEC">
      <w:pPr>
        <w:jc w:val="center"/>
        <w:rPr>
          <w:b/>
          <w:sz w:val="28"/>
          <w:szCs w:val="28"/>
          <w:u w:val="single"/>
        </w:rPr>
      </w:pPr>
      <w:r>
        <w:rPr>
          <w:b/>
          <w:sz w:val="28"/>
          <w:szCs w:val="28"/>
          <w:u w:val="single"/>
        </w:rPr>
        <w:t xml:space="preserve">The </w:t>
      </w:r>
      <w:bookmarkStart w:id="0" w:name="_GoBack"/>
      <w:bookmarkEnd w:id="0"/>
      <w:r w:rsidR="00CE0183">
        <w:rPr>
          <w:b/>
          <w:sz w:val="28"/>
          <w:szCs w:val="28"/>
          <w:u w:val="single"/>
        </w:rPr>
        <w:t>BINOCAR</w:t>
      </w:r>
      <w:r w:rsidR="00A26AEC" w:rsidRPr="00A26AEC">
        <w:rPr>
          <w:b/>
          <w:sz w:val="28"/>
          <w:szCs w:val="28"/>
          <w:u w:val="single"/>
        </w:rPr>
        <w:t xml:space="preserve"> Risk Assessment</w:t>
      </w:r>
    </w:p>
    <w:p w:rsidR="00A26AEC" w:rsidRDefault="00A26AEC" w:rsidP="00A26AEC">
      <w:pPr>
        <w:jc w:val="center"/>
        <w:rPr>
          <w:b/>
          <w:sz w:val="28"/>
          <w:szCs w:val="28"/>
          <w:u w:val="single"/>
        </w:rPr>
      </w:pPr>
    </w:p>
    <w:p w:rsidR="00A26AEC" w:rsidRDefault="00A26AEC" w:rsidP="00A26AEC">
      <w:pPr>
        <w:pStyle w:val="ListParagraph"/>
        <w:numPr>
          <w:ilvl w:val="0"/>
          <w:numId w:val="1"/>
        </w:numPr>
        <w:ind w:left="284" w:hanging="284"/>
        <w:jc w:val="both"/>
      </w:pPr>
      <w:r>
        <w:t>Introduction</w:t>
      </w:r>
    </w:p>
    <w:p w:rsidR="00A26AEC" w:rsidRDefault="00A26AEC" w:rsidP="00A26AEC">
      <w:pPr>
        <w:jc w:val="both"/>
      </w:pPr>
    </w:p>
    <w:p w:rsidR="00A26AEC" w:rsidRDefault="00A26AEC" w:rsidP="00A26AEC">
      <w:pPr>
        <w:jc w:val="both"/>
      </w:pPr>
      <w:r>
        <w:t>The purposes of this paper are to:</w:t>
      </w:r>
    </w:p>
    <w:p w:rsidR="00A26AEC" w:rsidRDefault="00A26AEC" w:rsidP="00A26AEC">
      <w:pPr>
        <w:jc w:val="both"/>
      </w:pPr>
    </w:p>
    <w:p w:rsidR="00A26AEC" w:rsidRDefault="00CE0183" w:rsidP="00A26AEC">
      <w:pPr>
        <w:pStyle w:val="ListParagraph"/>
        <w:numPr>
          <w:ilvl w:val="0"/>
          <w:numId w:val="2"/>
        </w:numPr>
        <w:jc w:val="both"/>
      </w:pPr>
      <w:r>
        <w:t>Record the BINOCAR</w:t>
      </w:r>
      <w:r w:rsidR="00A26AEC">
        <w:t xml:space="preserve"> risk assessment process associated with the release of information in tabular and other form where small numbers are involved, and</w:t>
      </w:r>
    </w:p>
    <w:p w:rsidR="00A26AEC" w:rsidRDefault="00A26AEC" w:rsidP="00A26AEC">
      <w:pPr>
        <w:pStyle w:val="ListParagraph"/>
        <w:numPr>
          <w:ilvl w:val="0"/>
          <w:numId w:val="2"/>
        </w:numPr>
        <w:jc w:val="both"/>
      </w:pPr>
      <w:r>
        <w:t xml:space="preserve">Seek the BINOCAR Management </w:t>
      </w:r>
      <w:r w:rsidR="00B656C1">
        <w:t>Committee</w:t>
      </w:r>
      <w:r>
        <w:t>’s approval for the conclusions reached.</w:t>
      </w:r>
    </w:p>
    <w:p w:rsidR="00A26AEC" w:rsidRDefault="00A26AEC" w:rsidP="00A26AEC">
      <w:pPr>
        <w:jc w:val="both"/>
      </w:pPr>
    </w:p>
    <w:p w:rsidR="00A26AEC" w:rsidRDefault="00A26AEC" w:rsidP="00A26AEC">
      <w:pPr>
        <w:jc w:val="both"/>
      </w:pPr>
      <w:r>
        <w:t>BINOCAR ensures the confidentiality in its reports and online data tables, but has not previously assessed risk in respect of small numbers.  The need to do so now reflects the increasing attention being paid to this issue in ONS</w:t>
      </w:r>
      <w:sdt>
        <w:sdtPr>
          <w:id w:val="-14090530"/>
          <w:citation/>
        </w:sdtPr>
        <w:sdtEndPr/>
        <w:sdtContent>
          <w:r w:rsidR="00B656C1">
            <w:fldChar w:fldCharType="begin"/>
          </w:r>
          <w:r w:rsidR="00B656C1">
            <w:instrText xml:space="preserve">CITATION Off06 \l 2057 </w:instrText>
          </w:r>
          <w:r w:rsidR="00B656C1">
            <w:fldChar w:fldCharType="separate"/>
          </w:r>
          <w:r w:rsidR="00B656C1">
            <w:rPr>
              <w:noProof/>
            </w:rPr>
            <w:t xml:space="preserve"> (1)</w:t>
          </w:r>
          <w:r w:rsidR="00B656C1">
            <w:fldChar w:fldCharType="end"/>
          </w:r>
        </w:sdtContent>
      </w:sdt>
      <w:r>
        <w:t xml:space="preserve"> and, subsequently Department of Health</w:t>
      </w:r>
      <w:sdt>
        <w:sdtPr>
          <w:id w:val="-1402594814"/>
          <w:citation/>
        </w:sdtPr>
        <w:sdtEndPr/>
        <w:sdtContent>
          <w:r w:rsidR="00B656C1">
            <w:fldChar w:fldCharType="begin"/>
          </w:r>
          <w:r w:rsidR="00B656C1">
            <w:instrText xml:space="preserve"> CITATION Hos09 \l 2057 </w:instrText>
          </w:r>
          <w:r w:rsidR="00B656C1">
            <w:fldChar w:fldCharType="separate"/>
          </w:r>
          <w:r w:rsidR="00B656C1">
            <w:rPr>
              <w:noProof/>
            </w:rPr>
            <w:t xml:space="preserve"> (2)</w:t>
          </w:r>
          <w:r w:rsidR="00B656C1">
            <w:fldChar w:fldCharType="end"/>
          </w:r>
        </w:sdtContent>
      </w:sdt>
      <w:sdt>
        <w:sdtPr>
          <w:id w:val="388228792"/>
          <w:citation/>
        </w:sdtPr>
        <w:sdtEndPr/>
        <w:sdtContent>
          <w:r w:rsidR="001E0429">
            <w:fldChar w:fldCharType="begin"/>
          </w:r>
          <w:r w:rsidR="001E0429">
            <w:instrText xml:space="preserve"> CITATION The09 \l 2057 </w:instrText>
          </w:r>
          <w:r w:rsidR="001E0429">
            <w:fldChar w:fldCharType="separate"/>
          </w:r>
          <w:r w:rsidR="001E0429">
            <w:rPr>
              <w:noProof/>
            </w:rPr>
            <w:t xml:space="preserve"> (3)</w:t>
          </w:r>
          <w:r w:rsidR="001E0429">
            <w:fldChar w:fldCharType="end"/>
          </w:r>
        </w:sdtContent>
      </w:sdt>
      <w:r>
        <w:t>, policies.</w:t>
      </w:r>
    </w:p>
    <w:p w:rsidR="00A26AEC" w:rsidRDefault="00A26AEC" w:rsidP="00A26AEC">
      <w:pPr>
        <w:jc w:val="both"/>
      </w:pPr>
    </w:p>
    <w:p w:rsidR="00A26AEC" w:rsidRDefault="00A26AEC" w:rsidP="00A26AEC">
      <w:pPr>
        <w:jc w:val="both"/>
      </w:pPr>
      <w:r>
        <w:t xml:space="preserve">A risk assessment meeting took place on </w:t>
      </w:r>
      <w:r w:rsidR="006D605B">
        <w:t>20</w:t>
      </w:r>
      <w:r w:rsidR="006D605B" w:rsidRPr="006D605B">
        <w:rPr>
          <w:vertAlign w:val="superscript"/>
        </w:rPr>
        <w:t>th</w:t>
      </w:r>
      <w:r w:rsidR="006D605B">
        <w:t xml:space="preserve"> July 2011</w:t>
      </w:r>
      <w:r>
        <w:t xml:space="preserve"> </w:t>
      </w:r>
      <w:r w:rsidR="001E0429">
        <w:t xml:space="preserve">at the Wolfson Institute for Preventive Medicine, Queen Mary University of London </w:t>
      </w:r>
      <w:r>
        <w:t xml:space="preserve">involving </w:t>
      </w:r>
      <w:r w:rsidR="006D605B">
        <w:t xml:space="preserve">the following members of the BINOCAR Management Committee: Liz Draper (EMSYCAR); Joan Morris (NDSCR); Judith Rankin (NorCAS); David Tucker (CARIS); Diana Wellesley (WANDA); </w:t>
      </w:r>
      <w:r w:rsidR="006D605B" w:rsidRPr="006D605B">
        <w:rPr>
          <w:rFonts w:cstheme="minorHAnsi"/>
        </w:rPr>
        <w:t>Catherine Whibley</w:t>
      </w:r>
      <w:r w:rsidR="006D605B">
        <w:t xml:space="preserve"> (YHCAR)</w:t>
      </w:r>
      <w:r>
        <w:t>.</w:t>
      </w:r>
    </w:p>
    <w:p w:rsidR="00A26AEC" w:rsidRDefault="00A26AEC" w:rsidP="00A26AEC">
      <w:pPr>
        <w:jc w:val="both"/>
      </w:pPr>
    </w:p>
    <w:p w:rsidR="00A26AEC" w:rsidRDefault="00A26AEC" w:rsidP="00A26AEC">
      <w:pPr>
        <w:pStyle w:val="ListParagraph"/>
        <w:numPr>
          <w:ilvl w:val="0"/>
          <w:numId w:val="1"/>
        </w:numPr>
        <w:ind w:left="284" w:hanging="284"/>
        <w:jc w:val="both"/>
      </w:pPr>
      <w:r>
        <w:t>External guidance and policy statements</w:t>
      </w:r>
    </w:p>
    <w:p w:rsidR="00A26AEC" w:rsidRDefault="00A26AEC" w:rsidP="00A26AEC">
      <w:pPr>
        <w:jc w:val="both"/>
      </w:pPr>
    </w:p>
    <w:p w:rsidR="00A26AEC" w:rsidRDefault="00A26AEC" w:rsidP="00A26AEC">
      <w:pPr>
        <w:jc w:val="both"/>
      </w:pPr>
      <w:r>
        <w:t xml:space="preserve">A “rule of thumb” has been in existence for some time that tables with a cell count of </w:t>
      </w:r>
      <w:r w:rsidR="001E0429">
        <w:t>less than</w:t>
      </w:r>
      <w:r>
        <w:t xml:space="preserve"> 5 (“small numbers” in this report) needed extra care.  However there has recently been greater attention to codifying this rule.  The origin of the greater attention by the NHS to this issue appear</w:t>
      </w:r>
      <w:r w:rsidR="00CE0183">
        <w:t>s</w:t>
      </w:r>
      <w:r>
        <w:t xml:space="preserve"> to be the publication in 2006 by the ONS of “Review of the Dissemination of Health Statistics: Confidentiality Guidance”.  Its focus is the risk presented by the dissemination of data with small numbers.</w:t>
      </w:r>
    </w:p>
    <w:p w:rsidR="00A26AEC" w:rsidRDefault="00A26AEC" w:rsidP="00A26AEC">
      <w:pPr>
        <w:jc w:val="both"/>
      </w:pPr>
    </w:p>
    <w:p w:rsidR="00A26AEC" w:rsidRDefault="00A26AEC" w:rsidP="00A26AEC">
      <w:pPr>
        <w:jc w:val="both"/>
      </w:pPr>
      <w:r>
        <w:t>The DH website states under “Code of Practice for Official Statistics” that it complies with the above ONS guidance.</w:t>
      </w:r>
    </w:p>
    <w:p w:rsidR="00A26AEC" w:rsidRDefault="00A26AEC" w:rsidP="00A26AEC">
      <w:pPr>
        <w:jc w:val="both"/>
      </w:pPr>
    </w:p>
    <w:p w:rsidR="00A26AEC" w:rsidRDefault="00A26AEC" w:rsidP="00A26AEC">
      <w:pPr>
        <w:jc w:val="both"/>
      </w:pPr>
      <w:r>
        <w:t>In June 2009 the “HES Protocol” was issued.  Section 4 deals with the risks presented by cell values of 1 to 5.  In November 2009 Directors of Public Health throughout the NHS received guidance on this.</w:t>
      </w:r>
    </w:p>
    <w:p w:rsidR="00A26AEC" w:rsidRDefault="00A26AEC" w:rsidP="00A26AEC">
      <w:pPr>
        <w:jc w:val="both"/>
      </w:pPr>
    </w:p>
    <w:p w:rsidR="00A26AEC" w:rsidRDefault="00A26AEC" w:rsidP="00A26AEC">
      <w:pPr>
        <w:pStyle w:val="ListParagraph"/>
        <w:numPr>
          <w:ilvl w:val="0"/>
          <w:numId w:val="1"/>
        </w:numPr>
        <w:ind w:left="284" w:hanging="284"/>
        <w:jc w:val="both"/>
      </w:pPr>
      <w:r>
        <w:t>Is BINOCAR bound by this external guidance?</w:t>
      </w:r>
    </w:p>
    <w:p w:rsidR="00A26AEC" w:rsidRDefault="00A26AEC" w:rsidP="00A26AEC">
      <w:pPr>
        <w:jc w:val="both"/>
      </w:pPr>
    </w:p>
    <w:p w:rsidR="00A26AEC" w:rsidRDefault="00173EFD" w:rsidP="00A26AEC">
      <w:pPr>
        <w:jc w:val="both"/>
      </w:pPr>
      <w:r>
        <w:t>The contract with HQIP sets out strict information governance rules.  These do not specifically deal with the small number issue but BINOCAR would have the responsibility in the event of there being a complaint on this issue.</w:t>
      </w:r>
    </w:p>
    <w:p w:rsidR="00173EFD" w:rsidRDefault="00173EFD" w:rsidP="00A26AEC">
      <w:pPr>
        <w:jc w:val="both"/>
      </w:pPr>
    </w:p>
    <w:p w:rsidR="00173EFD" w:rsidRDefault="00173EFD" w:rsidP="00A26AEC">
      <w:pPr>
        <w:jc w:val="both"/>
      </w:pPr>
      <w:r>
        <w:t>BINOCAR recognise</w:t>
      </w:r>
      <w:r w:rsidR="001E0429">
        <w:t>s</w:t>
      </w:r>
      <w:r>
        <w:t xml:space="preserve"> that it is in a highly privileged situation in having access to personal information about patients and must of its own accord ensure that it follows best practice in this area.  BINOCAR </w:t>
      </w:r>
      <w:r w:rsidR="00CE0183">
        <w:t>is</w:t>
      </w:r>
      <w:r>
        <w:t xml:space="preserve"> required to achieve and maintain accreditation by the National Information Governance Board (NIGB) under Section 251 of the NHS Act 2006 in order to continue to be permitted to receive </w:t>
      </w:r>
      <w:r w:rsidR="004F7AAF">
        <w:t>data with identifiers.</w:t>
      </w:r>
    </w:p>
    <w:p w:rsidR="00173EFD" w:rsidRDefault="00173EFD" w:rsidP="00A26AEC">
      <w:pPr>
        <w:jc w:val="both"/>
      </w:pPr>
    </w:p>
    <w:p w:rsidR="00FC05AD" w:rsidRDefault="00FC05AD" w:rsidP="00A26AEC">
      <w:pPr>
        <w:jc w:val="both"/>
      </w:pPr>
    </w:p>
    <w:p w:rsidR="00FC05AD" w:rsidRDefault="00FC05AD" w:rsidP="00A26AEC">
      <w:pPr>
        <w:jc w:val="both"/>
      </w:pPr>
    </w:p>
    <w:p w:rsidR="00FC05AD" w:rsidRDefault="00FC05AD" w:rsidP="00A26AEC">
      <w:pPr>
        <w:jc w:val="both"/>
      </w:pPr>
    </w:p>
    <w:p w:rsidR="00173EFD" w:rsidRDefault="00173EFD" w:rsidP="00173EFD">
      <w:pPr>
        <w:pStyle w:val="ListParagraph"/>
        <w:numPr>
          <w:ilvl w:val="0"/>
          <w:numId w:val="1"/>
        </w:numPr>
        <w:ind w:left="284" w:hanging="284"/>
        <w:jc w:val="both"/>
      </w:pPr>
      <w:r>
        <w:lastRenderedPageBreak/>
        <w:t>ONS risk assessment procedure</w:t>
      </w:r>
    </w:p>
    <w:p w:rsidR="00173EFD" w:rsidRDefault="00173EFD" w:rsidP="00173EFD">
      <w:pPr>
        <w:jc w:val="both"/>
      </w:pPr>
    </w:p>
    <w:p w:rsidR="00173EFD" w:rsidRDefault="00173EFD" w:rsidP="00173EFD">
      <w:pPr>
        <w:jc w:val="both"/>
      </w:pPr>
      <w:r>
        <w:t>The ONS guidance sets out a 6 step risk assessment and implementation process:</w:t>
      </w:r>
    </w:p>
    <w:p w:rsidR="00173EFD" w:rsidRDefault="00173EFD" w:rsidP="00173EFD">
      <w:pPr>
        <w:jc w:val="both"/>
      </w:pPr>
    </w:p>
    <w:p w:rsidR="00173EFD" w:rsidRDefault="00173EFD" w:rsidP="00173EFD">
      <w:pPr>
        <w:pStyle w:val="ListParagraph"/>
        <w:numPr>
          <w:ilvl w:val="0"/>
          <w:numId w:val="3"/>
        </w:numPr>
        <w:jc w:val="both"/>
      </w:pPr>
      <w:r>
        <w:t>Determine the users’ requirements for the published data</w:t>
      </w:r>
    </w:p>
    <w:p w:rsidR="00173EFD" w:rsidRDefault="00173EFD" w:rsidP="00173EFD">
      <w:pPr>
        <w:pStyle w:val="ListParagraph"/>
        <w:numPr>
          <w:ilvl w:val="0"/>
          <w:numId w:val="3"/>
        </w:numPr>
        <w:jc w:val="both"/>
      </w:pPr>
      <w:r>
        <w:t>Understand the key characteristics of the data</w:t>
      </w:r>
    </w:p>
    <w:p w:rsidR="00173EFD" w:rsidRDefault="00173EFD" w:rsidP="00173EFD">
      <w:pPr>
        <w:pStyle w:val="ListParagraph"/>
        <w:numPr>
          <w:ilvl w:val="0"/>
          <w:numId w:val="3"/>
        </w:numPr>
        <w:jc w:val="both"/>
      </w:pPr>
      <w:r>
        <w:t>Are there any circumstances where disclosure is likely to occur?</w:t>
      </w:r>
    </w:p>
    <w:p w:rsidR="00173EFD" w:rsidRDefault="00173EFD" w:rsidP="00173EFD">
      <w:pPr>
        <w:pStyle w:val="ListParagraph"/>
        <w:numPr>
          <w:ilvl w:val="0"/>
          <w:numId w:val="3"/>
        </w:numPr>
        <w:jc w:val="both"/>
      </w:pPr>
      <w:r>
        <w:t>If so, would disclosure represent a breach of public trust, the law or policy for National Statistics?</w:t>
      </w:r>
    </w:p>
    <w:p w:rsidR="00173EFD" w:rsidRDefault="00173EFD" w:rsidP="00173EFD">
      <w:pPr>
        <w:pStyle w:val="ListParagraph"/>
        <w:numPr>
          <w:ilvl w:val="0"/>
          <w:numId w:val="3"/>
        </w:numPr>
        <w:jc w:val="both"/>
      </w:pPr>
      <w:r>
        <w:t>If required, select appropriate disclosure control methods to manage the risk</w:t>
      </w:r>
    </w:p>
    <w:p w:rsidR="00173EFD" w:rsidRDefault="00173EFD" w:rsidP="00173EFD">
      <w:pPr>
        <w:pStyle w:val="ListParagraph"/>
        <w:numPr>
          <w:ilvl w:val="0"/>
          <w:numId w:val="3"/>
        </w:numPr>
        <w:jc w:val="both"/>
      </w:pPr>
      <w:r>
        <w:t>Implement and disseminate.</w:t>
      </w:r>
    </w:p>
    <w:p w:rsidR="00173EFD" w:rsidRDefault="00173EFD" w:rsidP="00173EFD">
      <w:pPr>
        <w:jc w:val="both"/>
      </w:pPr>
    </w:p>
    <w:p w:rsidR="00173EFD" w:rsidRDefault="00173EFD" w:rsidP="00173EFD">
      <w:pPr>
        <w:jc w:val="both"/>
      </w:pPr>
      <w:r>
        <w:t>The first four steps constitute the risk assessment, whilst the last two are about managing the results of the risk assessment.</w:t>
      </w:r>
    </w:p>
    <w:p w:rsidR="00173EFD" w:rsidRDefault="00173EFD" w:rsidP="00173EFD">
      <w:pPr>
        <w:jc w:val="both"/>
      </w:pPr>
    </w:p>
    <w:p w:rsidR="00173EFD" w:rsidRDefault="00173EFD" w:rsidP="00173EFD">
      <w:pPr>
        <w:pStyle w:val="ListParagraph"/>
        <w:numPr>
          <w:ilvl w:val="0"/>
          <w:numId w:val="1"/>
        </w:numPr>
        <w:ind w:left="284" w:hanging="284"/>
        <w:jc w:val="both"/>
      </w:pPr>
      <w:r>
        <w:t>Step 1: Determine users’ requirements</w:t>
      </w:r>
    </w:p>
    <w:p w:rsidR="00173EFD" w:rsidRDefault="00173EFD" w:rsidP="00A26AEC">
      <w:pPr>
        <w:jc w:val="both"/>
      </w:pPr>
    </w:p>
    <w:tbl>
      <w:tblPr>
        <w:tblStyle w:val="TableGrid"/>
        <w:tblW w:w="9157" w:type="dxa"/>
        <w:tblInd w:w="108" w:type="dxa"/>
        <w:tblLook w:val="04A0" w:firstRow="1" w:lastRow="0" w:firstColumn="1" w:lastColumn="0" w:noHBand="0" w:noVBand="1"/>
      </w:tblPr>
      <w:tblGrid>
        <w:gridCol w:w="4536"/>
        <w:gridCol w:w="4621"/>
      </w:tblGrid>
      <w:tr w:rsidR="00173EFD" w:rsidRPr="005068C0" w:rsidTr="00173EFD">
        <w:tc>
          <w:tcPr>
            <w:tcW w:w="4536" w:type="dxa"/>
          </w:tcPr>
          <w:p w:rsidR="00173EFD" w:rsidRPr="005068C0" w:rsidRDefault="00173EFD" w:rsidP="00A26AEC">
            <w:pPr>
              <w:jc w:val="both"/>
              <w:rPr>
                <w:i/>
              </w:rPr>
            </w:pPr>
            <w:r w:rsidRPr="005068C0">
              <w:rPr>
                <w:i/>
              </w:rPr>
              <w:t>Key elements from Step 1 of guidance</w:t>
            </w:r>
          </w:p>
        </w:tc>
        <w:tc>
          <w:tcPr>
            <w:tcW w:w="4621" w:type="dxa"/>
          </w:tcPr>
          <w:p w:rsidR="00173EFD" w:rsidRPr="005068C0" w:rsidRDefault="005068C0" w:rsidP="00A26AEC">
            <w:pPr>
              <w:jc w:val="both"/>
              <w:rPr>
                <w:i/>
              </w:rPr>
            </w:pPr>
            <w:r w:rsidRPr="005068C0">
              <w:rPr>
                <w:i/>
              </w:rPr>
              <w:t>Points raised at risk assessment meeting</w:t>
            </w:r>
          </w:p>
        </w:tc>
      </w:tr>
      <w:tr w:rsidR="00173EFD" w:rsidTr="00173EFD">
        <w:tc>
          <w:tcPr>
            <w:tcW w:w="4536" w:type="dxa"/>
          </w:tcPr>
          <w:p w:rsidR="00173EFD" w:rsidRDefault="005068C0" w:rsidP="00A26AEC">
            <w:pPr>
              <w:jc w:val="both"/>
            </w:pPr>
            <w:r>
              <w:t>“It is vital to identify the main users of the statistics, and understand why they need the figures and how they will use them in detail.  This is necessary to ensure that the design of the output is relevant and the amount of disclosure protection used has the least possible impact on the usefulness of the statistics.”</w:t>
            </w:r>
          </w:p>
        </w:tc>
        <w:tc>
          <w:tcPr>
            <w:tcW w:w="4621" w:type="dxa"/>
          </w:tcPr>
          <w:p w:rsidR="00173EFD" w:rsidRDefault="006D605B" w:rsidP="00A26AEC">
            <w:pPr>
              <w:jc w:val="both"/>
            </w:pPr>
            <w:r>
              <w:t>Clinician – for practice and counselling</w:t>
            </w:r>
          </w:p>
          <w:p w:rsidR="006D605B" w:rsidRDefault="006D605B" w:rsidP="00A26AEC">
            <w:pPr>
              <w:jc w:val="both"/>
            </w:pPr>
            <w:r>
              <w:t>Parent – prevalence of condition</w:t>
            </w:r>
            <w:r w:rsidR="004F7AAF">
              <w:t>, to facilitate decision making</w:t>
            </w:r>
          </w:p>
          <w:p w:rsidR="006D605B" w:rsidRDefault="006D605B" w:rsidP="00A26AEC">
            <w:pPr>
              <w:jc w:val="both"/>
            </w:pPr>
            <w:r>
              <w:t>Public health – risk assessment of population and provision of care</w:t>
            </w:r>
          </w:p>
          <w:p w:rsidR="006D605B" w:rsidRDefault="006D605B" w:rsidP="00A26AEC">
            <w:pPr>
              <w:jc w:val="both"/>
            </w:pPr>
            <w:r>
              <w:t>Commissioner – funding</w:t>
            </w:r>
            <w:r w:rsidR="001E0429">
              <w:t>, health service planning</w:t>
            </w:r>
          </w:p>
          <w:p w:rsidR="006D605B" w:rsidRDefault="006D605B" w:rsidP="00A26AEC">
            <w:pPr>
              <w:jc w:val="both"/>
            </w:pPr>
            <w:r>
              <w:t>Research – understand and develop projects</w:t>
            </w:r>
          </w:p>
          <w:p w:rsidR="00CE0183" w:rsidRDefault="001E0429" w:rsidP="001E0429">
            <w:pPr>
              <w:jc w:val="both"/>
            </w:pPr>
            <w:r>
              <w:t>Prenatal d</w:t>
            </w:r>
            <w:r w:rsidR="00CE0183">
              <w:t>etection and prevention</w:t>
            </w:r>
          </w:p>
        </w:tc>
      </w:tr>
    </w:tbl>
    <w:p w:rsidR="00173EFD" w:rsidRDefault="00173EFD" w:rsidP="00A26AEC">
      <w:pPr>
        <w:jc w:val="both"/>
      </w:pPr>
    </w:p>
    <w:p w:rsidR="005068C0" w:rsidRDefault="005068C0" w:rsidP="005068C0">
      <w:pPr>
        <w:pStyle w:val="ListParagraph"/>
        <w:numPr>
          <w:ilvl w:val="0"/>
          <w:numId w:val="1"/>
        </w:numPr>
        <w:ind w:left="284" w:hanging="284"/>
        <w:jc w:val="both"/>
      </w:pPr>
      <w:r>
        <w:t>Step 2: Understand key characteristics of the data</w:t>
      </w:r>
    </w:p>
    <w:p w:rsidR="005068C0" w:rsidRDefault="005068C0" w:rsidP="005068C0">
      <w:pPr>
        <w:jc w:val="both"/>
      </w:pPr>
    </w:p>
    <w:tbl>
      <w:tblPr>
        <w:tblStyle w:val="TableGrid"/>
        <w:tblW w:w="0" w:type="auto"/>
        <w:tblInd w:w="108" w:type="dxa"/>
        <w:tblLook w:val="04A0" w:firstRow="1" w:lastRow="0" w:firstColumn="1" w:lastColumn="0" w:noHBand="0" w:noVBand="1"/>
      </w:tblPr>
      <w:tblGrid>
        <w:gridCol w:w="4513"/>
        <w:gridCol w:w="4621"/>
      </w:tblGrid>
      <w:tr w:rsidR="005068C0" w:rsidRPr="005068C0" w:rsidTr="005068C0">
        <w:tc>
          <w:tcPr>
            <w:tcW w:w="4513" w:type="dxa"/>
          </w:tcPr>
          <w:p w:rsidR="005068C0" w:rsidRPr="005068C0" w:rsidRDefault="005068C0" w:rsidP="005068C0">
            <w:pPr>
              <w:jc w:val="both"/>
              <w:rPr>
                <w:i/>
              </w:rPr>
            </w:pPr>
            <w:r>
              <w:rPr>
                <w:i/>
              </w:rPr>
              <w:t>Key elements from Step 2 of guidance</w:t>
            </w:r>
          </w:p>
        </w:tc>
        <w:tc>
          <w:tcPr>
            <w:tcW w:w="4621" w:type="dxa"/>
          </w:tcPr>
          <w:p w:rsidR="005068C0" w:rsidRPr="005068C0" w:rsidRDefault="005068C0" w:rsidP="005068C0">
            <w:pPr>
              <w:jc w:val="both"/>
              <w:rPr>
                <w:i/>
              </w:rPr>
            </w:pPr>
            <w:r w:rsidRPr="005068C0">
              <w:rPr>
                <w:i/>
              </w:rPr>
              <w:t>Points raised at risk assessment meeting</w:t>
            </w:r>
          </w:p>
        </w:tc>
      </w:tr>
      <w:tr w:rsidR="005068C0" w:rsidTr="005068C0">
        <w:tc>
          <w:tcPr>
            <w:tcW w:w="4513" w:type="dxa"/>
          </w:tcPr>
          <w:p w:rsidR="005068C0" w:rsidRDefault="005068C0" w:rsidP="005068C0">
            <w:pPr>
              <w:jc w:val="both"/>
            </w:pPr>
            <w:r>
              <w:t>“Sensitive variables may require special attention.”</w:t>
            </w:r>
          </w:p>
          <w:p w:rsidR="005068C0" w:rsidRDefault="005068C0" w:rsidP="005068C0">
            <w:pPr>
              <w:jc w:val="both"/>
            </w:pPr>
          </w:p>
          <w:p w:rsidR="005068C0" w:rsidRDefault="005068C0" w:rsidP="005068C0">
            <w:pPr>
              <w:jc w:val="both"/>
            </w:pPr>
            <w:r>
              <w:t>“Where tables are very simple and presented at a high level of aggregation (including geography), disclosure issues are unlikely to arise.”</w:t>
            </w:r>
          </w:p>
        </w:tc>
        <w:tc>
          <w:tcPr>
            <w:tcW w:w="4621" w:type="dxa"/>
          </w:tcPr>
          <w:p w:rsidR="005068C0" w:rsidRDefault="009C6623" w:rsidP="005068C0">
            <w:pPr>
              <w:jc w:val="both"/>
            </w:pPr>
            <w:r>
              <w:t>Consanguinity</w:t>
            </w:r>
          </w:p>
          <w:p w:rsidR="009C6623" w:rsidRDefault="009C6623" w:rsidP="005068C0">
            <w:pPr>
              <w:jc w:val="both"/>
            </w:pPr>
            <w:r>
              <w:t>Terminations of pregnancy for fetal anomaly – especially in relation to late gestations (&gt;24 weeks)</w:t>
            </w:r>
          </w:p>
          <w:p w:rsidR="009C6623" w:rsidRDefault="009C6623" w:rsidP="005068C0">
            <w:pPr>
              <w:jc w:val="both"/>
            </w:pPr>
            <w:r>
              <w:t>Ethnicity</w:t>
            </w:r>
          </w:p>
          <w:p w:rsidR="009C6623" w:rsidRDefault="009C6623" w:rsidP="005068C0">
            <w:pPr>
              <w:jc w:val="both"/>
            </w:pPr>
            <w:r>
              <w:t>Younger and older mothers</w:t>
            </w:r>
          </w:p>
          <w:p w:rsidR="009C6623" w:rsidRDefault="006455E7" w:rsidP="005068C0">
            <w:pPr>
              <w:jc w:val="both"/>
            </w:pPr>
            <w:r>
              <w:t>Data presented in small</w:t>
            </w:r>
            <w:r w:rsidR="009C6623">
              <w:t xml:space="preserve"> chunks</w:t>
            </w:r>
          </w:p>
        </w:tc>
      </w:tr>
    </w:tbl>
    <w:p w:rsidR="005068C0" w:rsidRDefault="005068C0" w:rsidP="005068C0">
      <w:pPr>
        <w:jc w:val="both"/>
      </w:pPr>
    </w:p>
    <w:p w:rsidR="005068C0" w:rsidRDefault="005068C0" w:rsidP="005068C0">
      <w:pPr>
        <w:pStyle w:val="ListParagraph"/>
        <w:numPr>
          <w:ilvl w:val="0"/>
          <w:numId w:val="1"/>
        </w:numPr>
        <w:ind w:left="284" w:hanging="284"/>
        <w:jc w:val="both"/>
      </w:pPr>
      <w:r>
        <w:t xml:space="preserve"> Step 3: Assessment of disclosure risk</w:t>
      </w:r>
    </w:p>
    <w:p w:rsidR="005068C0" w:rsidRDefault="005068C0" w:rsidP="005068C0">
      <w:pPr>
        <w:jc w:val="both"/>
      </w:pPr>
    </w:p>
    <w:tbl>
      <w:tblPr>
        <w:tblStyle w:val="TableGrid"/>
        <w:tblW w:w="0" w:type="auto"/>
        <w:tblInd w:w="108" w:type="dxa"/>
        <w:tblLook w:val="04A0" w:firstRow="1" w:lastRow="0" w:firstColumn="1" w:lastColumn="0" w:noHBand="0" w:noVBand="1"/>
      </w:tblPr>
      <w:tblGrid>
        <w:gridCol w:w="4513"/>
        <w:gridCol w:w="4621"/>
      </w:tblGrid>
      <w:tr w:rsidR="005068C0" w:rsidRPr="005068C0" w:rsidTr="006D605B">
        <w:tc>
          <w:tcPr>
            <w:tcW w:w="4513" w:type="dxa"/>
          </w:tcPr>
          <w:p w:rsidR="005068C0" w:rsidRPr="005068C0" w:rsidRDefault="005068C0" w:rsidP="006D605B">
            <w:pPr>
              <w:jc w:val="both"/>
              <w:rPr>
                <w:i/>
              </w:rPr>
            </w:pPr>
            <w:r>
              <w:rPr>
                <w:i/>
              </w:rPr>
              <w:t>Key elements from Step 3 of guidance</w:t>
            </w:r>
          </w:p>
        </w:tc>
        <w:tc>
          <w:tcPr>
            <w:tcW w:w="4621" w:type="dxa"/>
          </w:tcPr>
          <w:p w:rsidR="005068C0" w:rsidRPr="005068C0" w:rsidRDefault="005068C0" w:rsidP="006D605B">
            <w:pPr>
              <w:jc w:val="both"/>
              <w:rPr>
                <w:i/>
              </w:rPr>
            </w:pPr>
            <w:r w:rsidRPr="005068C0">
              <w:rPr>
                <w:i/>
              </w:rPr>
              <w:t>Points raised at risk assessment meeting</w:t>
            </w:r>
          </w:p>
        </w:tc>
      </w:tr>
      <w:tr w:rsidR="005068C0" w:rsidTr="006D605B">
        <w:tc>
          <w:tcPr>
            <w:tcW w:w="4513" w:type="dxa"/>
          </w:tcPr>
          <w:p w:rsidR="005068C0" w:rsidRDefault="005068C0" w:rsidP="006D605B">
            <w:pPr>
              <w:jc w:val="both"/>
            </w:pPr>
            <w:r>
              <w:t>“</w:t>
            </w:r>
            <w:r w:rsidRPr="005068C0">
              <w:rPr>
                <w:b/>
                <w:i/>
              </w:rPr>
              <w:t>The Motivated Intruder</w:t>
            </w:r>
            <w:r>
              <w:t xml:space="preserve"> – This situation may occur when small values are reported for particular cells.  In a large population (for example, a country or a region), the effort and expertise required to discover more details about the statistical unit may be deemed to be disproportionate.  As the base population is decreased by moving to smaller geographies or sub-populations, it becomes easier to find units and discover information.”</w:t>
            </w:r>
          </w:p>
        </w:tc>
        <w:tc>
          <w:tcPr>
            <w:tcW w:w="4621" w:type="dxa"/>
          </w:tcPr>
          <w:p w:rsidR="005068C0" w:rsidRDefault="009C6623" w:rsidP="006D605B">
            <w:pPr>
              <w:jc w:val="both"/>
            </w:pPr>
            <w:r>
              <w:t xml:space="preserve">There is potential for a </w:t>
            </w:r>
            <w:r w:rsidR="001E0429">
              <w:t>‘</w:t>
            </w:r>
            <w:r>
              <w:t>motivated intruder</w:t>
            </w:r>
            <w:r w:rsidR="001E0429">
              <w:t xml:space="preserve">’ situation to arise </w:t>
            </w:r>
            <w:r>
              <w:t xml:space="preserve">with the BINOCAR data, particularly around </w:t>
            </w:r>
            <w:r w:rsidR="001E0429">
              <w:t>termination</w:t>
            </w:r>
            <w:r>
              <w:t xml:space="preserve"> of pregnancy</w:t>
            </w:r>
            <w:r w:rsidR="001E0429">
              <w:t xml:space="preserve"> data</w:t>
            </w:r>
            <w:r>
              <w:t>.</w:t>
            </w:r>
          </w:p>
          <w:p w:rsidR="009C6623" w:rsidRDefault="009C6623" w:rsidP="006D605B">
            <w:pPr>
              <w:jc w:val="both"/>
            </w:pPr>
            <w:r>
              <w:t xml:space="preserve">The BINOCAR registers have dealt with the data for </w:t>
            </w:r>
            <w:r w:rsidR="006455E7">
              <w:t>the last</w:t>
            </w:r>
            <w:r w:rsidR="006960F5">
              <w:t xml:space="preserve"> 13 years without compromising individuals</w:t>
            </w:r>
            <w:r w:rsidR="001E0429">
              <w:t>.</w:t>
            </w:r>
          </w:p>
          <w:p w:rsidR="006960F5" w:rsidRDefault="006960F5" w:rsidP="001E0429">
            <w:pPr>
              <w:jc w:val="both"/>
            </w:pPr>
            <w:r>
              <w:t>BINOCAR is subject to FOI request</w:t>
            </w:r>
            <w:r w:rsidR="001E0429">
              <w:t>s</w:t>
            </w:r>
            <w:r>
              <w:t xml:space="preserve"> but these will be dealt with within the restrictions of the </w:t>
            </w:r>
            <w:r w:rsidR="001E0429">
              <w:t>D</w:t>
            </w:r>
            <w:r>
              <w:t xml:space="preserve">ata </w:t>
            </w:r>
            <w:r w:rsidR="001E0429">
              <w:t>P</w:t>
            </w:r>
            <w:r>
              <w:t xml:space="preserve">rotection </w:t>
            </w:r>
            <w:r w:rsidR="001E0429">
              <w:t>A</w:t>
            </w:r>
            <w:r>
              <w:t>ct.</w:t>
            </w:r>
          </w:p>
        </w:tc>
      </w:tr>
      <w:tr w:rsidR="005068C0" w:rsidTr="006D605B">
        <w:tc>
          <w:tcPr>
            <w:tcW w:w="4513" w:type="dxa"/>
          </w:tcPr>
          <w:p w:rsidR="005068C0" w:rsidRDefault="005068C0" w:rsidP="006D605B">
            <w:pPr>
              <w:jc w:val="both"/>
            </w:pPr>
            <w:r>
              <w:lastRenderedPageBreak/>
              <w:t>“</w:t>
            </w:r>
            <w:r w:rsidRPr="005068C0">
              <w:rPr>
                <w:b/>
                <w:i/>
              </w:rPr>
              <w:t>Identification and self-identification</w:t>
            </w:r>
            <w:r>
              <w:t xml:space="preserve"> – Where a cell has a small val</w:t>
            </w:r>
            <w:r w:rsidR="001E0429">
              <w:t>ue, particularly if the count is</w:t>
            </w:r>
            <w:r>
              <w:t xml:space="preserve"> 1, this does need more consideration as identification can lead to the discovery or rareness … rareness may encourage others to seek out the individual.  The threat or reality could cause harm or distress to the individual.”</w:t>
            </w:r>
          </w:p>
        </w:tc>
        <w:tc>
          <w:tcPr>
            <w:tcW w:w="4621" w:type="dxa"/>
          </w:tcPr>
          <w:p w:rsidR="005068C0" w:rsidRDefault="006960F5" w:rsidP="001E0429">
            <w:pPr>
              <w:jc w:val="both"/>
            </w:pPr>
            <w:r>
              <w:t xml:space="preserve">Care will be taken </w:t>
            </w:r>
            <w:r w:rsidR="001E0429">
              <w:t xml:space="preserve">to ensure </w:t>
            </w:r>
            <w:r>
              <w:t xml:space="preserve">identification </w:t>
            </w:r>
            <w:r w:rsidR="001E0429">
              <w:t xml:space="preserve">is </w:t>
            </w:r>
            <w:r>
              <w:t>minimised</w:t>
            </w:r>
            <w:r w:rsidR="001E0429">
              <w:t>.</w:t>
            </w:r>
          </w:p>
        </w:tc>
      </w:tr>
      <w:tr w:rsidR="005068C0" w:rsidTr="006D605B">
        <w:tc>
          <w:tcPr>
            <w:tcW w:w="4513" w:type="dxa"/>
          </w:tcPr>
          <w:p w:rsidR="005068C0" w:rsidRDefault="005068C0" w:rsidP="006D605B">
            <w:pPr>
              <w:jc w:val="both"/>
            </w:pPr>
            <w:r>
              <w:t>“</w:t>
            </w:r>
            <w:r w:rsidRPr="00451FC6">
              <w:rPr>
                <w:b/>
                <w:i/>
              </w:rPr>
              <w:t>Risk categories</w:t>
            </w:r>
            <w:r>
              <w:t xml:space="preserve"> – three risk categories are identified in the ONS guidance – “high”, “medium” and “low”.  Where risk is assessed as “high”, all cells of 1 to 4 would be considered “unsafe”.  Where risk is “medium”, all cells of 1 or 2 would be considered “unsafe”.  Where risk is “low”, then good table design would usually be sufficient to provide the necessary protection, although “in order to prevent attribute disclosure care should be taken where rows or columns are dominated by zeros and in particular where a marginal total is a 1 or 2”.</w:t>
            </w:r>
          </w:p>
        </w:tc>
        <w:tc>
          <w:tcPr>
            <w:tcW w:w="4621" w:type="dxa"/>
          </w:tcPr>
          <w:p w:rsidR="005068C0" w:rsidRDefault="006960F5" w:rsidP="006D605B">
            <w:pPr>
              <w:jc w:val="both"/>
            </w:pPr>
            <w:r>
              <w:t>High risk – Terminations of pregnancy for fetal anomaly</w:t>
            </w:r>
            <w:r w:rsidR="001E0429">
              <w:t>.</w:t>
            </w:r>
          </w:p>
          <w:p w:rsidR="006960F5" w:rsidRDefault="006960F5" w:rsidP="006D605B">
            <w:pPr>
              <w:jc w:val="both"/>
            </w:pPr>
          </w:p>
          <w:p w:rsidR="006960F5" w:rsidRDefault="006960F5" w:rsidP="006D605B">
            <w:pPr>
              <w:jc w:val="both"/>
            </w:pPr>
            <w:r>
              <w:t xml:space="preserve">When suppressing </w:t>
            </w:r>
            <w:r w:rsidR="004F7AAF">
              <w:t xml:space="preserve">data </w:t>
            </w:r>
            <w:r>
              <w:t>care must be taken with multiple tables displaying the same data.</w:t>
            </w:r>
          </w:p>
          <w:p w:rsidR="006960F5" w:rsidRDefault="006960F5" w:rsidP="006D605B">
            <w:pPr>
              <w:jc w:val="both"/>
            </w:pPr>
            <w:r>
              <w:t>We will make sure cross checks are carried out so that numbers cannot be derived.</w:t>
            </w:r>
          </w:p>
        </w:tc>
      </w:tr>
    </w:tbl>
    <w:p w:rsidR="005068C0" w:rsidRDefault="005068C0" w:rsidP="005068C0">
      <w:pPr>
        <w:jc w:val="both"/>
      </w:pPr>
    </w:p>
    <w:p w:rsidR="005068C0" w:rsidRDefault="00451FC6" w:rsidP="00451FC6">
      <w:pPr>
        <w:pStyle w:val="ListParagraph"/>
        <w:numPr>
          <w:ilvl w:val="0"/>
          <w:numId w:val="1"/>
        </w:numPr>
        <w:ind w:left="284" w:hanging="284"/>
        <w:jc w:val="both"/>
      </w:pPr>
      <w:r>
        <w:t>Step 4: Does disclosure risk constitute a breach?</w:t>
      </w:r>
    </w:p>
    <w:p w:rsidR="00451FC6" w:rsidRDefault="00451FC6" w:rsidP="00451FC6">
      <w:pPr>
        <w:jc w:val="both"/>
      </w:pPr>
    </w:p>
    <w:tbl>
      <w:tblPr>
        <w:tblStyle w:val="TableGrid"/>
        <w:tblW w:w="0" w:type="auto"/>
        <w:tblInd w:w="108" w:type="dxa"/>
        <w:tblLook w:val="04A0" w:firstRow="1" w:lastRow="0" w:firstColumn="1" w:lastColumn="0" w:noHBand="0" w:noVBand="1"/>
      </w:tblPr>
      <w:tblGrid>
        <w:gridCol w:w="4513"/>
        <w:gridCol w:w="4621"/>
      </w:tblGrid>
      <w:tr w:rsidR="00451FC6" w:rsidRPr="005068C0" w:rsidTr="006D605B">
        <w:tc>
          <w:tcPr>
            <w:tcW w:w="4513" w:type="dxa"/>
          </w:tcPr>
          <w:p w:rsidR="00451FC6" w:rsidRPr="005068C0" w:rsidRDefault="00451FC6" w:rsidP="006D605B">
            <w:pPr>
              <w:jc w:val="both"/>
              <w:rPr>
                <w:i/>
              </w:rPr>
            </w:pPr>
            <w:r>
              <w:rPr>
                <w:i/>
              </w:rPr>
              <w:t>Key elements from Step 4 of guidance</w:t>
            </w:r>
          </w:p>
        </w:tc>
        <w:tc>
          <w:tcPr>
            <w:tcW w:w="4621" w:type="dxa"/>
          </w:tcPr>
          <w:p w:rsidR="00451FC6" w:rsidRPr="005068C0" w:rsidRDefault="00451FC6" w:rsidP="006D605B">
            <w:pPr>
              <w:jc w:val="both"/>
              <w:rPr>
                <w:i/>
              </w:rPr>
            </w:pPr>
            <w:r w:rsidRPr="005068C0">
              <w:rPr>
                <w:i/>
              </w:rPr>
              <w:t>Points raised at risk assessment meeting</w:t>
            </w:r>
          </w:p>
        </w:tc>
      </w:tr>
      <w:tr w:rsidR="00451FC6" w:rsidTr="006D605B">
        <w:tc>
          <w:tcPr>
            <w:tcW w:w="4513" w:type="dxa"/>
          </w:tcPr>
          <w:p w:rsidR="00451FC6" w:rsidRDefault="00451FC6" w:rsidP="006D605B">
            <w:pPr>
              <w:jc w:val="both"/>
            </w:pPr>
            <w:r>
              <w:t>“Statistical disclosure control methods … will be judged sufficient when the guarantee of confidentiality can be maintained …against the following standard: It would take a disproportionate amount of time, effort and expertise for an intruder to identify a statistical unit to others, or to reveal information about that unit not already in the public domain.”</w:t>
            </w:r>
          </w:p>
        </w:tc>
        <w:tc>
          <w:tcPr>
            <w:tcW w:w="4621" w:type="dxa"/>
          </w:tcPr>
          <w:p w:rsidR="00451FC6" w:rsidRDefault="006960F5" w:rsidP="006D605B">
            <w:pPr>
              <w:jc w:val="both"/>
            </w:pPr>
            <w:r>
              <w:t>We will be carrying out cell suppression and occasionally table re-design where appropriate.</w:t>
            </w:r>
          </w:p>
          <w:p w:rsidR="006960F5" w:rsidRDefault="006960F5" w:rsidP="006D605B">
            <w:pPr>
              <w:jc w:val="both"/>
              <w:rPr>
                <w:rFonts w:cstheme="minorHAnsi"/>
              </w:rPr>
            </w:pPr>
            <w:r>
              <w:t xml:space="preserve">We will not be carrying out rounding, </w:t>
            </w:r>
            <w:proofErr w:type="spellStart"/>
            <w:r w:rsidRPr="006960F5">
              <w:rPr>
                <w:rFonts w:cstheme="minorHAnsi"/>
              </w:rPr>
              <w:t>Barnardisation</w:t>
            </w:r>
            <w:proofErr w:type="spellEnd"/>
            <w:r>
              <w:rPr>
                <w:rFonts w:cstheme="minorHAnsi"/>
              </w:rPr>
              <w:t xml:space="preserve"> or record swapping</w:t>
            </w:r>
            <w:r w:rsidR="004F7AAF">
              <w:rPr>
                <w:rFonts w:cstheme="minorHAnsi"/>
              </w:rPr>
              <w:t xml:space="preserve"> as this can lead to misinterpretation of the data</w:t>
            </w:r>
            <w:r>
              <w:rPr>
                <w:rFonts w:cstheme="minorHAnsi"/>
              </w:rPr>
              <w:t>.</w:t>
            </w:r>
          </w:p>
          <w:p w:rsidR="006960F5" w:rsidRDefault="006960F5" w:rsidP="006D605B">
            <w:pPr>
              <w:jc w:val="both"/>
            </w:pPr>
          </w:p>
        </w:tc>
      </w:tr>
    </w:tbl>
    <w:p w:rsidR="00451FC6" w:rsidRDefault="00451FC6" w:rsidP="00451FC6">
      <w:pPr>
        <w:jc w:val="both"/>
      </w:pPr>
    </w:p>
    <w:p w:rsidR="00451FC6" w:rsidRDefault="00451FC6" w:rsidP="00451FC6">
      <w:pPr>
        <w:pStyle w:val="ListParagraph"/>
        <w:numPr>
          <w:ilvl w:val="0"/>
          <w:numId w:val="1"/>
        </w:numPr>
        <w:ind w:left="284" w:hanging="284"/>
        <w:jc w:val="both"/>
      </w:pPr>
      <w:r>
        <w:t>Overall conclusions of risk assessment steps 1 to 4</w:t>
      </w:r>
    </w:p>
    <w:p w:rsidR="00451FC6" w:rsidRDefault="00451FC6" w:rsidP="00451FC6">
      <w:pPr>
        <w:jc w:val="both"/>
      </w:pPr>
    </w:p>
    <w:p w:rsidR="00451FC6" w:rsidRDefault="00451FC6" w:rsidP="00451FC6">
      <w:pPr>
        <w:jc w:val="both"/>
      </w:pPr>
      <w:r>
        <w:t>The conclusion of the BINOCAR risk assessment is as follows:</w:t>
      </w:r>
    </w:p>
    <w:p w:rsidR="00451FC6" w:rsidRDefault="00451FC6" w:rsidP="00451FC6">
      <w:pPr>
        <w:jc w:val="both"/>
      </w:pPr>
    </w:p>
    <w:tbl>
      <w:tblPr>
        <w:tblStyle w:val="TableGrid"/>
        <w:tblW w:w="9059" w:type="dxa"/>
        <w:tblInd w:w="108" w:type="dxa"/>
        <w:tblLook w:val="04A0" w:firstRow="1" w:lastRow="0" w:firstColumn="1" w:lastColumn="0" w:noHBand="0" w:noVBand="1"/>
      </w:tblPr>
      <w:tblGrid>
        <w:gridCol w:w="2127"/>
        <w:gridCol w:w="2310"/>
        <w:gridCol w:w="2311"/>
        <w:gridCol w:w="2311"/>
      </w:tblGrid>
      <w:tr w:rsidR="00451FC6" w:rsidRPr="00451FC6" w:rsidTr="00451FC6">
        <w:tc>
          <w:tcPr>
            <w:tcW w:w="2127" w:type="dxa"/>
          </w:tcPr>
          <w:p w:rsidR="00451FC6" w:rsidRPr="00451FC6" w:rsidRDefault="00451FC6" w:rsidP="00451FC6">
            <w:pPr>
              <w:jc w:val="both"/>
              <w:rPr>
                <w:i/>
              </w:rPr>
            </w:pPr>
            <w:r w:rsidRPr="00451FC6">
              <w:rPr>
                <w:i/>
              </w:rPr>
              <w:t>Level of report/data</w:t>
            </w:r>
          </w:p>
        </w:tc>
        <w:tc>
          <w:tcPr>
            <w:tcW w:w="2310" w:type="dxa"/>
          </w:tcPr>
          <w:p w:rsidR="00451FC6" w:rsidRPr="00451FC6" w:rsidRDefault="00451FC6" w:rsidP="00451FC6">
            <w:pPr>
              <w:jc w:val="both"/>
              <w:rPr>
                <w:i/>
              </w:rPr>
            </w:pPr>
            <w:r w:rsidRPr="00451FC6">
              <w:rPr>
                <w:i/>
              </w:rPr>
              <w:t>For simple tables (i.e. exploring one variable)</w:t>
            </w:r>
          </w:p>
        </w:tc>
        <w:tc>
          <w:tcPr>
            <w:tcW w:w="2311" w:type="dxa"/>
          </w:tcPr>
          <w:p w:rsidR="00451FC6" w:rsidRPr="00451FC6" w:rsidRDefault="00451FC6" w:rsidP="00451FC6">
            <w:pPr>
              <w:jc w:val="both"/>
              <w:rPr>
                <w:i/>
              </w:rPr>
            </w:pPr>
            <w:r w:rsidRPr="00451FC6">
              <w:rPr>
                <w:i/>
              </w:rPr>
              <w:t>For complex tables (i.e. more than one variable)</w:t>
            </w:r>
          </w:p>
        </w:tc>
        <w:tc>
          <w:tcPr>
            <w:tcW w:w="2311" w:type="dxa"/>
          </w:tcPr>
          <w:p w:rsidR="00451FC6" w:rsidRPr="00451FC6" w:rsidRDefault="00451FC6" w:rsidP="00451FC6">
            <w:pPr>
              <w:jc w:val="both"/>
              <w:rPr>
                <w:i/>
              </w:rPr>
            </w:pPr>
            <w:r w:rsidRPr="00451FC6">
              <w:rPr>
                <w:i/>
              </w:rPr>
              <w:t>Other points</w:t>
            </w:r>
          </w:p>
        </w:tc>
      </w:tr>
      <w:tr w:rsidR="00451FC6" w:rsidTr="00451FC6">
        <w:tc>
          <w:tcPr>
            <w:tcW w:w="2127" w:type="dxa"/>
          </w:tcPr>
          <w:p w:rsidR="00451FC6" w:rsidRPr="00451FC6" w:rsidRDefault="00451FC6" w:rsidP="00451FC6">
            <w:pPr>
              <w:jc w:val="both"/>
              <w:rPr>
                <w:i/>
              </w:rPr>
            </w:pPr>
            <w:r w:rsidRPr="00451FC6">
              <w:rPr>
                <w:i/>
              </w:rPr>
              <w:t>UK/national</w:t>
            </w:r>
          </w:p>
        </w:tc>
        <w:tc>
          <w:tcPr>
            <w:tcW w:w="2310" w:type="dxa"/>
          </w:tcPr>
          <w:p w:rsidR="00451FC6" w:rsidRDefault="006960F5" w:rsidP="00451FC6">
            <w:pPr>
              <w:jc w:val="both"/>
            </w:pPr>
            <w:r>
              <w:t>No suppression</w:t>
            </w:r>
          </w:p>
        </w:tc>
        <w:tc>
          <w:tcPr>
            <w:tcW w:w="2311" w:type="dxa"/>
          </w:tcPr>
          <w:p w:rsidR="00451FC6" w:rsidRDefault="006960F5" w:rsidP="00451FC6">
            <w:pPr>
              <w:jc w:val="both"/>
            </w:pPr>
            <w:r>
              <w:t>No suppression</w:t>
            </w:r>
          </w:p>
        </w:tc>
        <w:tc>
          <w:tcPr>
            <w:tcW w:w="2311" w:type="dxa"/>
          </w:tcPr>
          <w:p w:rsidR="00451FC6" w:rsidRDefault="00451FC6" w:rsidP="00451FC6">
            <w:pPr>
              <w:jc w:val="both"/>
            </w:pPr>
          </w:p>
        </w:tc>
      </w:tr>
      <w:tr w:rsidR="00451FC6" w:rsidTr="00451FC6">
        <w:trPr>
          <w:trHeight w:val="198"/>
        </w:trPr>
        <w:tc>
          <w:tcPr>
            <w:tcW w:w="2127" w:type="dxa"/>
          </w:tcPr>
          <w:p w:rsidR="00451FC6" w:rsidRPr="00451FC6" w:rsidRDefault="00451FC6" w:rsidP="00451FC6">
            <w:pPr>
              <w:jc w:val="both"/>
              <w:rPr>
                <w:i/>
              </w:rPr>
            </w:pPr>
            <w:r w:rsidRPr="00451FC6">
              <w:rPr>
                <w:i/>
              </w:rPr>
              <w:t>Regional</w:t>
            </w:r>
          </w:p>
        </w:tc>
        <w:tc>
          <w:tcPr>
            <w:tcW w:w="2310" w:type="dxa"/>
          </w:tcPr>
          <w:p w:rsidR="00451FC6" w:rsidRDefault="00FC05AD" w:rsidP="00451FC6">
            <w:pPr>
              <w:jc w:val="both"/>
            </w:pPr>
            <w:r>
              <w:t>Suppression of 1-4</w:t>
            </w:r>
          </w:p>
        </w:tc>
        <w:tc>
          <w:tcPr>
            <w:tcW w:w="2311" w:type="dxa"/>
          </w:tcPr>
          <w:p w:rsidR="00451FC6" w:rsidRDefault="00FC05AD" w:rsidP="00451FC6">
            <w:pPr>
              <w:jc w:val="both"/>
            </w:pPr>
            <w:r>
              <w:t>Suppression of 1-4</w:t>
            </w:r>
          </w:p>
        </w:tc>
        <w:tc>
          <w:tcPr>
            <w:tcW w:w="2311" w:type="dxa"/>
          </w:tcPr>
          <w:p w:rsidR="00451FC6" w:rsidRDefault="00451FC6" w:rsidP="00451FC6">
            <w:pPr>
              <w:jc w:val="both"/>
            </w:pPr>
          </w:p>
        </w:tc>
      </w:tr>
      <w:tr w:rsidR="00451FC6" w:rsidTr="00451FC6">
        <w:tc>
          <w:tcPr>
            <w:tcW w:w="2127" w:type="dxa"/>
          </w:tcPr>
          <w:p w:rsidR="00451FC6" w:rsidRPr="00451FC6" w:rsidRDefault="00451FC6" w:rsidP="00451FC6">
            <w:pPr>
              <w:jc w:val="both"/>
              <w:rPr>
                <w:i/>
              </w:rPr>
            </w:pPr>
            <w:r w:rsidRPr="00451FC6">
              <w:rPr>
                <w:i/>
              </w:rPr>
              <w:t>Local</w:t>
            </w:r>
          </w:p>
        </w:tc>
        <w:tc>
          <w:tcPr>
            <w:tcW w:w="2310" w:type="dxa"/>
          </w:tcPr>
          <w:p w:rsidR="00451FC6" w:rsidRDefault="00FC05AD" w:rsidP="00451FC6">
            <w:pPr>
              <w:jc w:val="both"/>
            </w:pPr>
            <w:r>
              <w:t>Suppression of 1-4</w:t>
            </w:r>
          </w:p>
        </w:tc>
        <w:tc>
          <w:tcPr>
            <w:tcW w:w="2311" w:type="dxa"/>
          </w:tcPr>
          <w:p w:rsidR="00451FC6" w:rsidRDefault="00FC05AD" w:rsidP="00451FC6">
            <w:pPr>
              <w:jc w:val="both"/>
            </w:pPr>
            <w:r>
              <w:t>Suppression of 1-4</w:t>
            </w:r>
          </w:p>
        </w:tc>
        <w:tc>
          <w:tcPr>
            <w:tcW w:w="2311" w:type="dxa"/>
          </w:tcPr>
          <w:p w:rsidR="00451FC6" w:rsidRDefault="00451FC6" w:rsidP="00451FC6">
            <w:pPr>
              <w:jc w:val="both"/>
            </w:pPr>
          </w:p>
        </w:tc>
      </w:tr>
    </w:tbl>
    <w:p w:rsidR="00451FC6" w:rsidRDefault="00451FC6" w:rsidP="00451FC6">
      <w:pPr>
        <w:jc w:val="both"/>
      </w:pPr>
    </w:p>
    <w:p w:rsidR="00451FC6" w:rsidRDefault="00451FC6" w:rsidP="00451FC6">
      <w:pPr>
        <w:pStyle w:val="ListParagraph"/>
        <w:numPr>
          <w:ilvl w:val="0"/>
          <w:numId w:val="1"/>
        </w:numPr>
        <w:ind w:left="284" w:hanging="284"/>
        <w:jc w:val="both"/>
      </w:pPr>
      <w:r>
        <w:t xml:space="preserve"> Step 5: Selecting disclosure control methods</w:t>
      </w:r>
    </w:p>
    <w:p w:rsidR="00451FC6" w:rsidRDefault="00451FC6" w:rsidP="00451FC6">
      <w:pPr>
        <w:jc w:val="both"/>
      </w:pPr>
    </w:p>
    <w:p w:rsidR="00451FC6" w:rsidRDefault="00451FC6" w:rsidP="00451FC6">
      <w:pPr>
        <w:jc w:val="both"/>
      </w:pPr>
      <w:r>
        <w:t>This could include suppressing any cells with counts below the prescribed level for that risk category or redesigning the table so that all cell counts are above the prescribed level.</w:t>
      </w:r>
    </w:p>
    <w:p w:rsidR="00451FC6" w:rsidRDefault="00451FC6" w:rsidP="00451FC6">
      <w:pPr>
        <w:jc w:val="both"/>
      </w:pPr>
    </w:p>
    <w:p w:rsidR="00451FC6" w:rsidRDefault="00451FC6" w:rsidP="00451FC6">
      <w:pPr>
        <w:jc w:val="both"/>
      </w:pPr>
    </w:p>
    <w:p w:rsidR="00451FC6" w:rsidRDefault="00451FC6" w:rsidP="00451FC6">
      <w:pPr>
        <w:jc w:val="both"/>
      </w:pPr>
    </w:p>
    <w:p w:rsidR="00FC05AD" w:rsidRDefault="00FC05AD" w:rsidP="00451FC6">
      <w:pPr>
        <w:jc w:val="both"/>
      </w:pPr>
    </w:p>
    <w:p w:rsidR="00451FC6" w:rsidRDefault="00451FC6" w:rsidP="00451FC6">
      <w:pPr>
        <w:pStyle w:val="ListParagraph"/>
        <w:numPr>
          <w:ilvl w:val="0"/>
          <w:numId w:val="1"/>
        </w:numPr>
        <w:ind w:left="284" w:hanging="284"/>
        <w:jc w:val="both"/>
      </w:pPr>
      <w:r>
        <w:lastRenderedPageBreak/>
        <w:t xml:space="preserve"> Step 6: Implementing the guidance</w:t>
      </w:r>
    </w:p>
    <w:p w:rsidR="00451FC6" w:rsidRDefault="00451FC6" w:rsidP="00451FC6">
      <w:pPr>
        <w:jc w:val="both"/>
      </w:pPr>
    </w:p>
    <w:tbl>
      <w:tblPr>
        <w:tblStyle w:val="TableGrid"/>
        <w:tblW w:w="0" w:type="auto"/>
        <w:tblInd w:w="108" w:type="dxa"/>
        <w:tblLook w:val="04A0" w:firstRow="1" w:lastRow="0" w:firstColumn="1" w:lastColumn="0" w:noHBand="0" w:noVBand="1"/>
      </w:tblPr>
      <w:tblGrid>
        <w:gridCol w:w="4513"/>
        <w:gridCol w:w="4621"/>
      </w:tblGrid>
      <w:tr w:rsidR="00451FC6" w:rsidRPr="00451FC6" w:rsidTr="00451FC6">
        <w:tc>
          <w:tcPr>
            <w:tcW w:w="4513" w:type="dxa"/>
          </w:tcPr>
          <w:p w:rsidR="00451FC6" w:rsidRPr="00451FC6" w:rsidRDefault="00451FC6" w:rsidP="00451FC6">
            <w:pPr>
              <w:jc w:val="both"/>
              <w:rPr>
                <w:i/>
              </w:rPr>
            </w:pPr>
            <w:r w:rsidRPr="00451FC6">
              <w:rPr>
                <w:i/>
              </w:rPr>
              <w:t>Key guidance</w:t>
            </w:r>
          </w:p>
        </w:tc>
        <w:tc>
          <w:tcPr>
            <w:tcW w:w="4621" w:type="dxa"/>
          </w:tcPr>
          <w:p w:rsidR="00451FC6" w:rsidRPr="00451FC6" w:rsidRDefault="00451FC6" w:rsidP="00451FC6">
            <w:pPr>
              <w:jc w:val="both"/>
              <w:rPr>
                <w:i/>
              </w:rPr>
            </w:pPr>
            <w:r w:rsidRPr="00451FC6">
              <w:rPr>
                <w:i/>
              </w:rPr>
              <w:t>Proposed actions</w:t>
            </w:r>
          </w:p>
        </w:tc>
      </w:tr>
      <w:tr w:rsidR="00451FC6" w:rsidTr="00451FC6">
        <w:tc>
          <w:tcPr>
            <w:tcW w:w="4513" w:type="dxa"/>
          </w:tcPr>
          <w:p w:rsidR="00451FC6" w:rsidRDefault="00451FC6" w:rsidP="00451FC6">
            <w:pPr>
              <w:jc w:val="both"/>
            </w:pPr>
            <w:r>
              <w:t xml:space="preserve">Data providers should be open and transparent in this process and document their decisions and the whole risk assessment process so that these can be reviewed. </w:t>
            </w:r>
          </w:p>
        </w:tc>
        <w:tc>
          <w:tcPr>
            <w:tcW w:w="4621" w:type="dxa"/>
          </w:tcPr>
          <w:p w:rsidR="00451FC6" w:rsidRDefault="00FC05AD" w:rsidP="00451FC6">
            <w:pPr>
              <w:jc w:val="both"/>
            </w:pPr>
            <w:r>
              <w:t xml:space="preserve">This document will be sent around to all registers </w:t>
            </w:r>
            <w:proofErr w:type="gramStart"/>
            <w:r>
              <w:t>who</w:t>
            </w:r>
            <w:proofErr w:type="gramEnd"/>
            <w:r>
              <w:t xml:space="preserve"> </w:t>
            </w:r>
            <w:r w:rsidR="001E0429">
              <w:t>contribute and disseminate</w:t>
            </w:r>
            <w:r>
              <w:t xml:space="preserve"> data.</w:t>
            </w:r>
          </w:p>
          <w:p w:rsidR="00FC05AD" w:rsidRDefault="00FC05AD" w:rsidP="00451FC6">
            <w:pPr>
              <w:jc w:val="both"/>
            </w:pPr>
            <w:r>
              <w:t>This document will also be available on the BINOCAR website.</w:t>
            </w:r>
          </w:p>
        </w:tc>
      </w:tr>
    </w:tbl>
    <w:p w:rsidR="00451FC6" w:rsidRDefault="00451FC6" w:rsidP="00451FC6">
      <w:pPr>
        <w:jc w:val="both"/>
      </w:pPr>
    </w:p>
    <w:p w:rsidR="00451FC6" w:rsidRDefault="00451FC6" w:rsidP="00451FC6">
      <w:pPr>
        <w:pStyle w:val="ListParagraph"/>
        <w:numPr>
          <w:ilvl w:val="0"/>
          <w:numId w:val="1"/>
        </w:numPr>
        <w:ind w:left="284" w:hanging="284"/>
        <w:jc w:val="both"/>
      </w:pPr>
      <w:r>
        <w:t xml:space="preserve"> Summary and Conclusion</w:t>
      </w:r>
    </w:p>
    <w:p w:rsidR="00451FC6" w:rsidRDefault="00451FC6" w:rsidP="00451FC6">
      <w:pPr>
        <w:jc w:val="both"/>
      </w:pPr>
    </w:p>
    <w:p w:rsidR="00451FC6" w:rsidRDefault="00451FC6" w:rsidP="00451FC6">
      <w:pPr>
        <w:jc w:val="both"/>
      </w:pPr>
      <w:r>
        <w:t xml:space="preserve">BINOCAR </w:t>
      </w:r>
      <w:r w:rsidR="001E0429">
        <w:t>seeks</w:t>
      </w:r>
      <w:r>
        <w:t xml:space="preserve"> to comply with good practice on disclosure of data involving small numbers.  This is contained in guidance issued by ONS in 2006.  To comply with the guidance BINOCAR has carried out a risk assessment and should also disclose its process and conclusions.</w:t>
      </w:r>
    </w:p>
    <w:p w:rsidR="00451FC6" w:rsidRDefault="00451FC6" w:rsidP="00451FC6">
      <w:pPr>
        <w:jc w:val="both"/>
      </w:pPr>
    </w:p>
    <w:p w:rsidR="00451FC6" w:rsidRDefault="00B656C1" w:rsidP="00B656C1">
      <w:pPr>
        <w:pStyle w:val="ListParagraph"/>
        <w:numPr>
          <w:ilvl w:val="0"/>
          <w:numId w:val="1"/>
        </w:numPr>
        <w:ind w:left="284" w:hanging="284"/>
        <w:jc w:val="both"/>
      </w:pPr>
      <w:r>
        <w:t xml:space="preserve"> References</w:t>
      </w:r>
    </w:p>
    <w:p w:rsidR="00B656C1" w:rsidRDefault="00B656C1" w:rsidP="00451FC6">
      <w:pPr>
        <w:jc w:val="both"/>
      </w:pPr>
    </w:p>
    <w:sdt>
      <w:sdtPr>
        <w:id w:val="2095055980"/>
        <w:docPartObj>
          <w:docPartGallery w:val="Bibliographies"/>
          <w:docPartUnique/>
        </w:docPartObj>
      </w:sdtPr>
      <w:sdtEndPr/>
      <w:sdtContent>
        <w:sdt>
          <w:sdtPr>
            <w:id w:val="111145805"/>
            <w:bibliography/>
          </w:sdtPr>
          <w:sdtEndPr/>
          <w:sdtContent>
            <w:p w:rsidR="001E0429" w:rsidRDefault="00B656C1" w:rsidP="001E0429">
              <w:pPr>
                <w:pStyle w:val="Bibliography"/>
                <w:rPr>
                  <w:noProof/>
                </w:rPr>
              </w:pPr>
              <w:r>
                <w:fldChar w:fldCharType="begin"/>
              </w:r>
              <w:r>
                <w:instrText xml:space="preserve"> BIBLIOGRAPHY </w:instrText>
              </w:r>
              <w:r>
                <w:fldChar w:fldCharType="separate"/>
              </w:r>
              <w:r w:rsidR="001E0429">
                <w:rPr>
                  <w:noProof/>
                </w:rPr>
                <w:t xml:space="preserve">1. </w:t>
              </w:r>
              <w:r w:rsidR="001E0429">
                <w:rPr>
                  <w:b/>
                  <w:bCs/>
                  <w:noProof/>
                </w:rPr>
                <w:t>Office for National Statistics (ONS).</w:t>
              </w:r>
              <w:r w:rsidR="001E0429">
                <w:rPr>
                  <w:noProof/>
                </w:rPr>
                <w:t xml:space="preserve"> </w:t>
              </w:r>
              <w:r w:rsidR="001E0429">
                <w:rPr>
                  <w:i/>
                  <w:iCs/>
                  <w:noProof/>
                </w:rPr>
                <w:t xml:space="preserve">Review of the Dissemination of Health Statistics: Confidentiality Guidance. </w:t>
              </w:r>
              <w:r w:rsidR="001E0429">
                <w:rPr>
                  <w:noProof/>
                </w:rPr>
                <w:t>London: 2006. .</w:t>
              </w:r>
            </w:p>
            <w:p w:rsidR="001E0429" w:rsidRPr="001E0429" w:rsidRDefault="001E0429" w:rsidP="001E0429">
              <w:pPr>
                <w:pStyle w:val="Bibliography"/>
                <w:rPr>
                  <w:b/>
                  <w:bCs/>
                  <w:noProof/>
                </w:rPr>
              </w:pPr>
              <w:r>
                <w:rPr>
                  <w:noProof/>
                </w:rPr>
                <w:t xml:space="preserve">2. </w:t>
              </w:r>
              <w:r>
                <w:rPr>
                  <w:b/>
                  <w:bCs/>
                  <w:noProof/>
                </w:rPr>
                <w:t>Hospital Episode Statistics (HES).</w:t>
              </w:r>
              <w:r>
                <w:rPr>
                  <w:noProof/>
                </w:rPr>
                <w:t xml:space="preserve"> </w:t>
              </w:r>
              <w:r>
                <w:rPr>
                  <w:i/>
                  <w:iCs/>
                  <w:noProof/>
                </w:rPr>
                <w:t xml:space="preserve">The HES Protocol: Instructions for handling the data. </w:t>
              </w:r>
              <w:r>
                <w:rPr>
                  <w:noProof/>
                </w:rPr>
                <w:t>Leeds: 2009.</w:t>
              </w:r>
            </w:p>
            <w:p w:rsidR="001E0429" w:rsidRDefault="001E0429" w:rsidP="001E0429">
              <w:pPr>
                <w:pStyle w:val="Bibliography"/>
                <w:rPr>
                  <w:noProof/>
                </w:rPr>
              </w:pPr>
              <w:r>
                <w:rPr>
                  <w:noProof/>
                </w:rPr>
                <w:t xml:space="preserve">3. </w:t>
              </w:r>
              <w:r>
                <w:rPr>
                  <w:b/>
                  <w:bCs/>
                  <w:noProof/>
                </w:rPr>
                <w:t>The Information Centre (IC).</w:t>
              </w:r>
              <w:r>
                <w:rPr>
                  <w:noProof/>
                </w:rPr>
                <w:t xml:space="preserve"> </w:t>
              </w:r>
              <w:r>
                <w:rPr>
                  <w:i/>
                  <w:iCs/>
                  <w:noProof/>
                </w:rPr>
                <w:t xml:space="preserve">Information Governance Directorate: Small Numbers Procedure. </w:t>
              </w:r>
              <w:r>
                <w:rPr>
                  <w:noProof/>
                </w:rPr>
                <w:t>Leeds: 2009.</w:t>
              </w:r>
            </w:p>
            <w:p w:rsidR="00B656C1" w:rsidRDefault="00B656C1" w:rsidP="001E0429">
              <w:r>
                <w:rPr>
                  <w:b/>
                  <w:bCs/>
                  <w:noProof/>
                </w:rPr>
                <w:fldChar w:fldCharType="end"/>
              </w:r>
            </w:p>
          </w:sdtContent>
        </w:sdt>
      </w:sdtContent>
    </w:sdt>
    <w:p w:rsidR="00B656C1" w:rsidRDefault="00B656C1" w:rsidP="00451FC6">
      <w:pPr>
        <w:jc w:val="both"/>
      </w:pPr>
    </w:p>
    <w:p w:rsidR="001E0429" w:rsidRDefault="001E0429" w:rsidP="00451FC6">
      <w:pPr>
        <w:jc w:val="both"/>
      </w:pPr>
      <w:r>
        <w:t>BINOCAR Management Committee, 20</w:t>
      </w:r>
      <w:r w:rsidRPr="001E0429">
        <w:rPr>
          <w:vertAlign w:val="superscript"/>
        </w:rPr>
        <w:t>th</w:t>
      </w:r>
      <w:r>
        <w:t xml:space="preserve"> July 2010</w:t>
      </w: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Default="00EB760D" w:rsidP="00451FC6">
      <w:pPr>
        <w:jc w:val="both"/>
      </w:pPr>
    </w:p>
    <w:p w:rsidR="00EB760D" w:rsidRPr="00A26AEC" w:rsidRDefault="00EB760D" w:rsidP="00451FC6">
      <w:pPr>
        <w:jc w:val="both"/>
      </w:pPr>
    </w:p>
    <w:sectPr w:rsidR="00EB760D" w:rsidRPr="00A26AE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6C1" w:rsidRDefault="00B656C1" w:rsidP="006D605B">
      <w:r>
        <w:separator/>
      </w:r>
    </w:p>
  </w:endnote>
  <w:endnote w:type="continuationSeparator" w:id="0">
    <w:p w:rsidR="00B656C1" w:rsidRDefault="00B656C1" w:rsidP="006D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C1" w:rsidRDefault="00B656C1">
    <w:pPr>
      <w:pStyle w:val="Footer"/>
    </w:pPr>
    <w:r>
      <w:ptab w:relativeTo="margin" w:alignment="center" w:leader="none"/>
    </w:r>
    <w:r w:rsidRPr="00B656C1">
      <w:rPr>
        <w:sz w:val="20"/>
        <w:szCs w:val="20"/>
      </w:rPr>
      <w:ptab w:relativeTo="margin" w:alignment="right" w:leader="none"/>
    </w:r>
    <w:r w:rsidRPr="00B656C1">
      <w:rPr>
        <w:sz w:val="20"/>
        <w:szCs w:val="20"/>
      </w:rPr>
      <w:t>Version 1 – 20 July 2011</w:t>
    </w:r>
    <w:r>
      <w:rPr>
        <w:b/>
        <w:u w:val="singl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6C1" w:rsidRDefault="00B656C1" w:rsidP="006D605B">
      <w:r>
        <w:separator/>
      </w:r>
    </w:p>
  </w:footnote>
  <w:footnote w:type="continuationSeparator" w:id="0">
    <w:p w:rsidR="00B656C1" w:rsidRDefault="00B656C1" w:rsidP="006D60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A3222"/>
    <w:multiLevelType w:val="hybridMultilevel"/>
    <w:tmpl w:val="6548F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4D037C"/>
    <w:multiLevelType w:val="hybridMultilevel"/>
    <w:tmpl w:val="B3EC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2127BC"/>
    <w:multiLevelType w:val="hybridMultilevel"/>
    <w:tmpl w:val="084C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AEC"/>
    <w:rsid w:val="000A5B06"/>
    <w:rsid w:val="00173EFD"/>
    <w:rsid w:val="00185080"/>
    <w:rsid w:val="001E0429"/>
    <w:rsid w:val="00451FC6"/>
    <w:rsid w:val="004F7AAF"/>
    <w:rsid w:val="005068C0"/>
    <w:rsid w:val="006455E7"/>
    <w:rsid w:val="006960F5"/>
    <w:rsid w:val="006D605B"/>
    <w:rsid w:val="00891E98"/>
    <w:rsid w:val="009C6623"/>
    <w:rsid w:val="00A26AEC"/>
    <w:rsid w:val="00B656C1"/>
    <w:rsid w:val="00B7530C"/>
    <w:rsid w:val="00CE0183"/>
    <w:rsid w:val="00EB760D"/>
    <w:rsid w:val="00FC0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56C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AEC"/>
    <w:pPr>
      <w:ind w:left="720"/>
      <w:contextualSpacing/>
    </w:pPr>
  </w:style>
  <w:style w:type="table" w:styleId="TableGrid">
    <w:name w:val="Table Grid"/>
    <w:basedOn w:val="TableNormal"/>
    <w:uiPriority w:val="59"/>
    <w:rsid w:val="00173E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605B"/>
    <w:pPr>
      <w:tabs>
        <w:tab w:val="center" w:pos="4513"/>
        <w:tab w:val="right" w:pos="9026"/>
      </w:tabs>
    </w:pPr>
  </w:style>
  <w:style w:type="character" w:customStyle="1" w:styleId="HeaderChar">
    <w:name w:val="Header Char"/>
    <w:basedOn w:val="DefaultParagraphFont"/>
    <w:link w:val="Header"/>
    <w:uiPriority w:val="99"/>
    <w:rsid w:val="006D605B"/>
  </w:style>
  <w:style w:type="paragraph" w:styleId="Footer">
    <w:name w:val="footer"/>
    <w:basedOn w:val="Normal"/>
    <w:link w:val="FooterChar"/>
    <w:uiPriority w:val="99"/>
    <w:unhideWhenUsed/>
    <w:rsid w:val="006D605B"/>
    <w:pPr>
      <w:tabs>
        <w:tab w:val="center" w:pos="4513"/>
        <w:tab w:val="right" w:pos="9026"/>
      </w:tabs>
    </w:pPr>
  </w:style>
  <w:style w:type="character" w:customStyle="1" w:styleId="FooterChar">
    <w:name w:val="Footer Char"/>
    <w:basedOn w:val="DefaultParagraphFont"/>
    <w:link w:val="Footer"/>
    <w:uiPriority w:val="99"/>
    <w:rsid w:val="006D605B"/>
  </w:style>
  <w:style w:type="paragraph" w:styleId="BalloonText">
    <w:name w:val="Balloon Text"/>
    <w:basedOn w:val="Normal"/>
    <w:link w:val="BalloonTextChar"/>
    <w:uiPriority w:val="99"/>
    <w:semiHidden/>
    <w:unhideWhenUsed/>
    <w:rsid w:val="00B656C1"/>
    <w:rPr>
      <w:rFonts w:ascii="Tahoma" w:hAnsi="Tahoma" w:cs="Tahoma"/>
      <w:sz w:val="16"/>
      <w:szCs w:val="16"/>
    </w:rPr>
  </w:style>
  <w:style w:type="character" w:customStyle="1" w:styleId="BalloonTextChar">
    <w:name w:val="Balloon Text Char"/>
    <w:basedOn w:val="DefaultParagraphFont"/>
    <w:link w:val="BalloonText"/>
    <w:uiPriority w:val="99"/>
    <w:semiHidden/>
    <w:rsid w:val="00B656C1"/>
    <w:rPr>
      <w:rFonts w:ascii="Tahoma" w:hAnsi="Tahoma" w:cs="Tahoma"/>
      <w:sz w:val="16"/>
      <w:szCs w:val="16"/>
    </w:rPr>
  </w:style>
  <w:style w:type="character" w:customStyle="1" w:styleId="Heading1Char">
    <w:name w:val="Heading 1 Char"/>
    <w:basedOn w:val="DefaultParagraphFont"/>
    <w:link w:val="Heading1"/>
    <w:uiPriority w:val="9"/>
    <w:rsid w:val="00B656C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56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56C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AEC"/>
    <w:pPr>
      <w:ind w:left="720"/>
      <w:contextualSpacing/>
    </w:pPr>
  </w:style>
  <w:style w:type="table" w:styleId="TableGrid">
    <w:name w:val="Table Grid"/>
    <w:basedOn w:val="TableNormal"/>
    <w:uiPriority w:val="59"/>
    <w:rsid w:val="00173E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605B"/>
    <w:pPr>
      <w:tabs>
        <w:tab w:val="center" w:pos="4513"/>
        <w:tab w:val="right" w:pos="9026"/>
      </w:tabs>
    </w:pPr>
  </w:style>
  <w:style w:type="character" w:customStyle="1" w:styleId="HeaderChar">
    <w:name w:val="Header Char"/>
    <w:basedOn w:val="DefaultParagraphFont"/>
    <w:link w:val="Header"/>
    <w:uiPriority w:val="99"/>
    <w:rsid w:val="006D605B"/>
  </w:style>
  <w:style w:type="paragraph" w:styleId="Footer">
    <w:name w:val="footer"/>
    <w:basedOn w:val="Normal"/>
    <w:link w:val="FooterChar"/>
    <w:uiPriority w:val="99"/>
    <w:unhideWhenUsed/>
    <w:rsid w:val="006D605B"/>
    <w:pPr>
      <w:tabs>
        <w:tab w:val="center" w:pos="4513"/>
        <w:tab w:val="right" w:pos="9026"/>
      </w:tabs>
    </w:pPr>
  </w:style>
  <w:style w:type="character" w:customStyle="1" w:styleId="FooterChar">
    <w:name w:val="Footer Char"/>
    <w:basedOn w:val="DefaultParagraphFont"/>
    <w:link w:val="Footer"/>
    <w:uiPriority w:val="99"/>
    <w:rsid w:val="006D605B"/>
  </w:style>
  <w:style w:type="paragraph" w:styleId="BalloonText">
    <w:name w:val="Balloon Text"/>
    <w:basedOn w:val="Normal"/>
    <w:link w:val="BalloonTextChar"/>
    <w:uiPriority w:val="99"/>
    <w:semiHidden/>
    <w:unhideWhenUsed/>
    <w:rsid w:val="00B656C1"/>
    <w:rPr>
      <w:rFonts w:ascii="Tahoma" w:hAnsi="Tahoma" w:cs="Tahoma"/>
      <w:sz w:val="16"/>
      <w:szCs w:val="16"/>
    </w:rPr>
  </w:style>
  <w:style w:type="character" w:customStyle="1" w:styleId="BalloonTextChar">
    <w:name w:val="Balloon Text Char"/>
    <w:basedOn w:val="DefaultParagraphFont"/>
    <w:link w:val="BalloonText"/>
    <w:uiPriority w:val="99"/>
    <w:semiHidden/>
    <w:rsid w:val="00B656C1"/>
    <w:rPr>
      <w:rFonts w:ascii="Tahoma" w:hAnsi="Tahoma" w:cs="Tahoma"/>
      <w:sz w:val="16"/>
      <w:szCs w:val="16"/>
    </w:rPr>
  </w:style>
  <w:style w:type="character" w:customStyle="1" w:styleId="Heading1Char">
    <w:name w:val="Heading 1 Char"/>
    <w:basedOn w:val="DefaultParagraphFont"/>
    <w:link w:val="Heading1"/>
    <w:uiPriority w:val="9"/>
    <w:rsid w:val="00B656C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5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Off06</b:Tag>
    <b:SourceType>ElectronicSource</b:SourceType>
    <b:Guid>{54B7632E-F6F5-4449-A537-BC8BDCF4F2F7}</b:Guid>
    <b:Title>Review of the Dissemination of Health Statistics: Confidentiality Guidance</b:Title>
    <b:Year>2006</b:Year>
    <b:City>London</b:City>
    <b:Author>
      <b:Author>
        <b:NameList>
          <b:Person>
            <b:Last>Statistics</b:Last>
            <b:First>Office</b:First>
            <b:Middle>for National</b:Middle>
          </b:Person>
        </b:NameList>
      </b:Author>
    </b:Author>
    <b:StandardNumber>
		</b:StandardNumber>
    <b:RefOrder>1</b:RefOrder>
  </b:Source>
  <b:Source>
    <b:Tag>Hos09</b:Tag>
    <b:SourceType>ElectronicSource</b:SourceType>
    <b:Guid>{8CE76D1E-A705-43C1-8D2F-1CEAFEB5BF88}</b:Guid>
    <b:Title>The HES Protocol: Instructions for handling the data</b:Title>
    <b:City>Leeds</b:City>
    <b:Year>2009</b:Year>
    <b:Author>
      <b:Author>
        <b:NameList>
          <b:Person>
            <b:Last>Statistics</b:Last>
            <b:First>Hospital</b:First>
            <b:Middle>Episode</b:Middle>
          </b:Person>
        </b:NameList>
      </b:Author>
    </b:Author>
    <b:RefOrder>2</b:RefOrder>
  </b:Source>
  <b:Source>
    <b:Tag>The09</b:Tag>
    <b:SourceType>ElectronicSource</b:SourceType>
    <b:Guid>{37C30E7B-8D17-4D0B-82F7-2F36933F4CCC}</b:Guid>
    <b:Author>
      <b:Author>
        <b:NameList>
          <b:Person>
            <b:Last>Centre</b:Last>
            <b:First>The</b:First>
            <b:Middle>Information</b:Middle>
          </b:Person>
        </b:NameList>
      </b:Author>
    </b:Author>
    <b:Title>Information Governance Directorate: Small Numbers Procedure</b:Title>
    <b:City>Leeds</b:City>
    <b:Year>2009</b:Year>
    <b:RefOrder>3</b:RefOrder>
  </b:Source>
</b:Sources>
</file>

<file path=customXml/itemProps1.xml><?xml version="1.0" encoding="utf-8"?>
<ds:datastoreItem xmlns:ds="http://schemas.openxmlformats.org/officeDocument/2006/customXml" ds:itemID="{84AECAA9-673E-4EC0-9EE9-35F5AAC06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Springett</dc:creator>
  <cp:lastModifiedBy>Anna Springett</cp:lastModifiedBy>
  <cp:revision>7</cp:revision>
  <cp:lastPrinted>2011-04-05T08:29:00Z</cp:lastPrinted>
  <dcterms:created xsi:type="dcterms:W3CDTF">2011-03-30T09:19:00Z</dcterms:created>
  <dcterms:modified xsi:type="dcterms:W3CDTF">2011-08-18T08:36:00Z</dcterms:modified>
</cp:coreProperties>
</file>